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6A" w:rsidRPr="00FF1234" w:rsidRDefault="00FA7F6A" w:rsidP="003301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ЗАКОН</w:t>
      </w:r>
      <w:r w:rsidR="0033010E"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ТЮМЕНСКОЙ ОБЛАСТИ</w:t>
      </w:r>
    </w:p>
    <w:p w:rsidR="00FA7F6A" w:rsidRPr="00FF1234" w:rsidRDefault="00FA7F6A" w:rsidP="003301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от 3 мая 2002 года N 15</w:t>
      </w:r>
    </w:p>
    <w:p w:rsidR="00FA7F6A" w:rsidRPr="00FF1234" w:rsidRDefault="00FA7F6A" w:rsidP="003301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О ДОПОЛНИТЕЛЬНЫХ МЕРАХ ПО ЗАЩИТЕ НРАВСТВЕННОСТИ И ЗДОРОВЬЯ ДЕТЕЙ В ТЮМЕНСКОЙ ОБЛАСТИ</w:t>
      </w:r>
    </w:p>
    <w:p w:rsidR="00FF1234" w:rsidRDefault="00FA7F6A" w:rsidP="00FF12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FF1234">
        <w:rPr>
          <w:rFonts w:ascii="Arial" w:eastAsia="Times New Roman" w:hAnsi="Arial" w:cs="Arial"/>
          <w:spacing w:val="2"/>
          <w:sz w:val="20"/>
          <w:szCs w:val="20"/>
          <w:lang w:eastAsia="ru-RU"/>
        </w:rPr>
        <w:t>в</w:t>
      </w:r>
      <w:r w:rsidR="0033010E" w:rsidRPr="00FF123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редакции </w:t>
      </w:r>
      <w:hyperlink r:id="rId5" w:history="1">
        <w:r w:rsidRPr="00FF1234">
          <w:rPr>
            <w:rFonts w:ascii="Arial" w:eastAsia="Times New Roman" w:hAnsi="Arial" w:cs="Arial"/>
            <w:spacing w:val="2"/>
            <w:sz w:val="20"/>
            <w:szCs w:val="20"/>
            <w:lang w:eastAsia="ru-RU"/>
          </w:rPr>
          <w:t>Законов Тюменской области от 11.03.2004 N 211</w:t>
        </w:r>
      </w:hyperlink>
      <w:r w:rsidR="0033010E" w:rsidRPr="00FF123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, </w:t>
      </w:r>
      <w:hyperlink r:id="rId6" w:history="1">
        <w:r w:rsidRPr="00FF1234">
          <w:rPr>
            <w:rFonts w:ascii="Arial" w:eastAsia="Times New Roman" w:hAnsi="Arial" w:cs="Arial"/>
            <w:spacing w:val="2"/>
            <w:sz w:val="20"/>
            <w:szCs w:val="20"/>
            <w:lang w:eastAsia="ru-RU"/>
          </w:rPr>
          <w:t>от 26.12.2008 N 89</w:t>
        </w:r>
      </w:hyperlink>
      <w:r w:rsidR="0033010E" w:rsidRPr="00FF123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, </w:t>
      </w:r>
    </w:p>
    <w:p w:rsidR="00FF1234" w:rsidRDefault="00FA1C81" w:rsidP="00FF12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hyperlink r:id="rId7" w:history="1">
        <w:r w:rsidR="00FA7F6A" w:rsidRPr="00FF1234">
          <w:rPr>
            <w:rFonts w:ascii="Arial" w:eastAsia="Times New Roman" w:hAnsi="Arial" w:cs="Arial"/>
            <w:spacing w:val="2"/>
            <w:sz w:val="20"/>
            <w:szCs w:val="20"/>
            <w:lang w:eastAsia="ru-RU"/>
          </w:rPr>
          <w:t>от 03.11.2009 N 87</w:t>
        </w:r>
      </w:hyperlink>
      <w:r w:rsidR="0033010E" w:rsidRPr="00FF123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, </w:t>
      </w:r>
      <w:hyperlink r:id="rId8" w:history="1">
        <w:r w:rsidR="00FA7F6A" w:rsidRPr="00FF1234">
          <w:rPr>
            <w:rFonts w:ascii="Arial" w:eastAsia="Times New Roman" w:hAnsi="Arial" w:cs="Arial"/>
            <w:spacing w:val="2"/>
            <w:sz w:val="20"/>
            <w:szCs w:val="20"/>
            <w:lang w:eastAsia="ru-RU"/>
          </w:rPr>
          <w:t>от 03.05.2011 N 26</w:t>
        </w:r>
      </w:hyperlink>
      <w:r w:rsidR="00FA7F6A" w:rsidRPr="00FF1234">
        <w:rPr>
          <w:rFonts w:ascii="Arial" w:eastAsia="Times New Roman" w:hAnsi="Arial" w:cs="Arial"/>
          <w:spacing w:val="2"/>
          <w:sz w:val="20"/>
          <w:szCs w:val="20"/>
          <w:lang w:eastAsia="ru-RU"/>
        </w:rPr>
        <w:t>,</w:t>
      </w:r>
      <w:r w:rsidR="00FF1234" w:rsidRPr="00FF123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hyperlink r:id="rId9" w:history="1">
        <w:r w:rsidR="00FA7F6A" w:rsidRPr="00FF1234">
          <w:rPr>
            <w:rFonts w:ascii="Arial" w:eastAsia="Times New Roman" w:hAnsi="Arial" w:cs="Arial"/>
            <w:spacing w:val="2"/>
            <w:sz w:val="20"/>
            <w:szCs w:val="20"/>
            <w:lang w:eastAsia="ru-RU"/>
          </w:rPr>
          <w:t>от 28.02.2014 N 5</w:t>
        </w:r>
      </w:hyperlink>
      <w:r w:rsidR="0033010E" w:rsidRPr="00FF123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, </w:t>
      </w:r>
      <w:hyperlink r:id="rId10" w:history="1">
        <w:r w:rsidR="00FA7F6A" w:rsidRPr="00FF1234">
          <w:rPr>
            <w:rFonts w:ascii="Arial" w:eastAsia="Times New Roman" w:hAnsi="Arial" w:cs="Arial"/>
            <w:spacing w:val="2"/>
            <w:sz w:val="20"/>
            <w:szCs w:val="20"/>
            <w:lang w:eastAsia="ru-RU"/>
          </w:rPr>
          <w:t>от 11.06.2014 N 50</w:t>
        </w:r>
      </w:hyperlink>
      <w:r w:rsidR="0033010E" w:rsidRPr="00FF123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, </w:t>
      </w:r>
    </w:p>
    <w:p w:rsidR="00FA7F6A" w:rsidRPr="00FF1234" w:rsidRDefault="00FA1C81" w:rsidP="00FF12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hyperlink r:id="rId11" w:history="1">
        <w:r w:rsidR="00FA7F6A" w:rsidRPr="00FF1234">
          <w:rPr>
            <w:rFonts w:ascii="Arial" w:eastAsia="Times New Roman" w:hAnsi="Arial" w:cs="Arial"/>
            <w:spacing w:val="2"/>
            <w:sz w:val="20"/>
            <w:szCs w:val="20"/>
            <w:lang w:eastAsia="ru-RU"/>
          </w:rPr>
          <w:t>от 02.12.2014 N 1</w:t>
        </w:r>
        <w:bookmarkStart w:id="0" w:name="_GoBack"/>
        <w:bookmarkEnd w:id="0"/>
        <w:r w:rsidR="00FA7F6A" w:rsidRPr="00FF1234">
          <w:rPr>
            <w:rFonts w:ascii="Arial" w:eastAsia="Times New Roman" w:hAnsi="Arial" w:cs="Arial"/>
            <w:spacing w:val="2"/>
            <w:sz w:val="20"/>
            <w:szCs w:val="20"/>
            <w:lang w:eastAsia="ru-RU"/>
          </w:rPr>
          <w:t>04</w:t>
        </w:r>
      </w:hyperlink>
      <w:r w:rsidR="00FA7F6A" w:rsidRPr="00FF1234">
        <w:rPr>
          <w:rFonts w:ascii="Arial" w:eastAsia="Times New Roman" w:hAnsi="Arial" w:cs="Arial"/>
          <w:spacing w:val="2"/>
          <w:sz w:val="20"/>
          <w:szCs w:val="20"/>
          <w:lang w:eastAsia="ru-RU"/>
        </w:rPr>
        <w:t>,</w:t>
      </w:r>
      <w:r w:rsidR="0033010E" w:rsidRPr="00FF1234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hyperlink r:id="rId12" w:history="1">
        <w:r w:rsidR="00FA7F6A" w:rsidRPr="00FF1234">
          <w:rPr>
            <w:rFonts w:ascii="Arial" w:eastAsia="Times New Roman" w:hAnsi="Arial" w:cs="Arial"/>
            <w:spacing w:val="2"/>
            <w:sz w:val="20"/>
            <w:szCs w:val="20"/>
            <w:lang w:eastAsia="ru-RU"/>
          </w:rPr>
          <w:t>от 12.10.2015 N 97</w:t>
        </w:r>
      </w:hyperlink>
    </w:p>
    <w:p w:rsidR="0033010E" w:rsidRPr="00FF1234" w:rsidRDefault="0033010E" w:rsidP="00330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FA7F6A" w:rsidRPr="00FF1234" w:rsidRDefault="00FA7F6A" w:rsidP="00330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proofErr w:type="gramStart"/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Принят</w:t>
      </w:r>
      <w:proofErr w:type="gramEnd"/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областной Думой 18 апреля 2002 года</w:t>
      </w:r>
    </w:p>
    <w:p w:rsidR="0033010E" w:rsidRPr="00FF1234" w:rsidRDefault="0033010E" w:rsidP="003301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FF1234" w:rsidRDefault="00FA7F6A" w:rsidP="00FF123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Настоящий Закон в соответствии с Конституцией Российской Федерации, Федеральным законом "Об основных гарантиях прав ребенка в Российской Федерации", иными нормативными правовыми актами Российской Федерации и Тюменской области определяет дополнительные меры, направленные на обеспечение здоровья, физической, интеллектуальной, нравственной и психической безопасности детей в Тюменской области. </w:t>
      </w:r>
    </w:p>
    <w:p w:rsidR="0033010E" w:rsidRPr="00FF1234" w:rsidRDefault="0033010E" w:rsidP="003301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FA7F6A" w:rsidRPr="00FF1234" w:rsidRDefault="00FA7F6A" w:rsidP="003301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Статья 1. Государственная политика Тюменской области в сфере защиты нравственности и здоровья детей</w:t>
      </w:r>
      <w:r w:rsid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</w:p>
    <w:p w:rsidR="0033010E" w:rsidRPr="00FF1234" w:rsidRDefault="00FA7F6A" w:rsidP="003301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Защита и укрепление нравственности и здоровья детей провозглашаются одним из приоритетных направлений государственной политики Тюменской области.</w:t>
      </w:r>
      <w:r w:rsidR="0033010E"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В указанных целях органы государственной власти и местного самоуправления Тюменской области принимают неукоснительные меры по охране норм общественной жизни, морали и традиционных ценностей, составляющих неотъемлемую часть исторического и культурного достояния России и Тюменской области, воспитанию детей в духе патриотизма, почтения к старшему поколению, пропаганде здорового и социально полезного образа жизни, развитию детских и молодежных культурно-досуговых организаций.</w:t>
      </w:r>
      <w:r w:rsidR="0033010E"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</w:p>
    <w:p w:rsidR="00FA7F6A" w:rsidRPr="00FF1234" w:rsidRDefault="00FA7F6A" w:rsidP="003301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В Тюменской области поддерживается и поощряется деятельность граждан, предприятий и организаций, направленная на достижение целей, предусмотренных настоящим Законом.</w:t>
      </w:r>
    </w:p>
    <w:p w:rsidR="0033010E" w:rsidRPr="00FF1234" w:rsidRDefault="0033010E" w:rsidP="003301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FA7F6A" w:rsidRPr="00FF1234" w:rsidRDefault="00FA7F6A" w:rsidP="003301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Статья 2. Основные понятия</w:t>
      </w:r>
      <w:r w:rsid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</w:p>
    <w:p w:rsidR="0033010E" w:rsidRPr="00FF1234" w:rsidRDefault="00FA7F6A" w:rsidP="003301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В настоящем Законе под продукцией, не рекомендуемой ребенку для пользования до достижения им возраста 18 лет, понимается:</w:t>
      </w:r>
      <w:r w:rsidR="0033010E"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</w:p>
    <w:p w:rsidR="0033010E" w:rsidRPr="00FF1234" w:rsidRDefault="00FA7F6A" w:rsidP="003301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1) печатная продукция, аудио- и видеопродукция, иная продукция, содержащая сведения, способные нанести вред здоровью ребенка, нравственному и духовному его развитию, пропагандирующая насилие и жестокость, порнографию, антиобщественное поведение;</w:t>
      </w:r>
      <w:r w:rsidR="0033010E"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</w:p>
    <w:p w:rsidR="00FA7F6A" w:rsidRPr="00FF1234" w:rsidRDefault="00FA7F6A" w:rsidP="003301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2) печатная продукция, аудио- и видеопродукция, иная продукция, содержащая сведения об алкогольной продукции, табачных изделиях, а также их производителях, направленные на формирование у несовершеннолетних представления о безвредности данной продукции, а также возбуждение у несовершеннолетних желания употреблят</w:t>
      </w:r>
      <w:r w:rsid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ь данную продукцию.</w:t>
      </w:r>
    </w:p>
    <w:p w:rsidR="0033010E" w:rsidRPr="00FF1234" w:rsidRDefault="0033010E" w:rsidP="003301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FA7F6A" w:rsidRPr="00FF1234" w:rsidRDefault="00FA7F6A" w:rsidP="00FF123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lastRenderedPageBreak/>
        <w:t>Статья 3. Нормативы распространения в Тюменской области продукции, не рекомендуемой ребенку для пользования до достижения им возраста 18 лет</w:t>
      </w:r>
      <w:r w:rsid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</w:p>
    <w:p w:rsidR="00FA7F6A" w:rsidRPr="00FF1234" w:rsidRDefault="00FA7F6A" w:rsidP="003301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2. Продукция, указанная в подпункте 2 статьи 2 настоящего Закона, не может распространяться в границах (черте) городов и иных поселений Тюменской области в любой форме (тексты, графические элементы, логотипы, голограммы и др.) и с помощью любых способов и средств, за исключением распространения ее в специализированных периодических печатных изданиях, а также внутри помещений, в которых располагаются организации, осуществляющие деятельность по производству или обороту данной продукции, а также алкогольной продукции, табачных изделий, с соблюдением требований, установленны</w:t>
      </w:r>
      <w:r w:rsid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х федеральным законодательством.</w:t>
      </w:r>
    </w:p>
    <w:p w:rsidR="0033010E" w:rsidRPr="00FF1234" w:rsidRDefault="0033010E" w:rsidP="003301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FA7F6A" w:rsidRPr="00FF1234" w:rsidRDefault="00FA7F6A" w:rsidP="003301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Статья 4. Запрещение нанесения надписей, изображений, противоречащих общим принципам морали и нравственности</w:t>
      </w:r>
      <w:r w:rsid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</w:p>
    <w:p w:rsidR="00FA7F6A" w:rsidRPr="00FF1234" w:rsidRDefault="00FA7F6A" w:rsidP="003301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Запрещается нанесение надписей, изображений, противоречащих общим принципам морали и нравственности (нецензурных и оскорбительных слов и выражений, изображений эротического и порнографического характера, изображений и надписей, содержащих призывы к насилию или антиобщественному поведению, а также пропагандирующих курение, потребление алкогольных напитков и др.), с помощью любых средств на любых поверхностях (витрины, стены зданий и сооружений, заборы, тротуары) в границах (черте) городов, иных поселений Тюменской области.</w:t>
      </w:r>
    </w:p>
    <w:p w:rsidR="0033010E" w:rsidRPr="00FF1234" w:rsidRDefault="0033010E" w:rsidP="003301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FA7F6A" w:rsidRPr="00FF1234" w:rsidRDefault="00FA7F6A" w:rsidP="003301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Статья 6. Ответственность за невыполнение требований настоящего Закона</w:t>
      </w:r>
      <w:r w:rsid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</w:p>
    <w:p w:rsidR="00FA7F6A" w:rsidRPr="00FF1234" w:rsidRDefault="00FA7F6A" w:rsidP="0033010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За невыполнение требований настоящего Закона юридические лица или граждане несут ответственность в соответствии с действующим законодательством.</w:t>
      </w:r>
    </w:p>
    <w:p w:rsidR="0033010E" w:rsidRPr="00FF1234" w:rsidRDefault="0033010E" w:rsidP="003301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33010E" w:rsidRPr="00FF1234" w:rsidRDefault="00FA7F6A" w:rsidP="00330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Губернатор области</w:t>
      </w:r>
      <w:r w:rsidR="0033010E"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</w:p>
    <w:p w:rsidR="00FA7F6A" w:rsidRPr="00FF1234" w:rsidRDefault="00FA7F6A" w:rsidP="003301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С.С.СОБЯНИН</w:t>
      </w:r>
    </w:p>
    <w:p w:rsidR="00B31730" w:rsidRPr="00FF1234" w:rsidRDefault="00FA7F6A" w:rsidP="00FF1234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z w:val="26"/>
          <w:szCs w:val="26"/>
        </w:rPr>
      </w:pP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г. Тюмень</w:t>
      </w:r>
      <w:r w:rsidR="0033010E"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3 мая 2002 года</w:t>
      </w:r>
      <w:r w:rsidR="0033010E"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Pr="00FF1234">
        <w:rPr>
          <w:rFonts w:ascii="Arial" w:eastAsia="Times New Roman" w:hAnsi="Arial" w:cs="Arial"/>
          <w:spacing w:val="2"/>
          <w:sz w:val="26"/>
          <w:szCs w:val="26"/>
          <w:lang w:eastAsia="ru-RU"/>
        </w:rPr>
        <w:t>N 15</w:t>
      </w:r>
    </w:p>
    <w:sectPr w:rsidR="00B31730" w:rsidRPr="00FF1234" w:rsidSect="0033010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9"/>
    <w:rsid w:val="0033010E"/>
    <w:rsid w:val="005C4759"/>
    <w:rsid w:val="006458F9"/>
    <w:rsid w:val="00B31730"/>
    <w:rsid w:val="00FA7F6A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7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A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F6A"/>
  </w:style>
  <w:style w:type="paragraph" w:customStyle="1" w:styleId="formattext">
    <w:name w:val="formattext"/>
    <w:basedOn w:val="a"/>
    <w:rsid w:val="00FA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7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7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A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F6A"/>
  </w:style>
  <w:style w:type="paragraph" w:customStyle="1" w:styleId="formattext">
    <w:name w:val="formattext"/>
    <w:basedOn w:val="a"/>
    <w:rsid w:val="00FA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954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5224066" TargetMode="External"/><Relationship Id="rId12" Type="http://schemas.openxmlformats.org/officeDocument/2006/relationships/hyperlink" Target="http://docs.cntd.ru/document/430648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85966" TargetMode="External"/><Relationship Id="rId11" Type="http://schemas.openxmlformats.org/officeDocument/2006/relationships/hyperlink" Target="http://docs.cntd.ru/document/423843151" TargetMode="External"/><Relationship Id="rId5" Type="http://schemas.openxmlformats.org/officeDocument/2006/relationships/hyperlink" Target="http://docs.cntd.ru/document/802032536" TargetMode="External"/><Relationship Id="rId10" Type="http://schemas.openxmlformats.org/officeDocument/2006/relationships/hyperlink" Target="http://docs.cntd.ru/document/412328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2838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Наталья_Евгеньевна</dc:creator>
  <cp:keywords/>
  <dc:description/>
  <cp:lastModifiedBy>1</cp:lastModifiedBy>
  <cp:revision>6</cp:revision>
  <dcterms:created xsi:type="dcterms:W3CDTF">2016-05-18T08:28:00Z</dcterms:created>
  <dcterms:modified xsi:type="dcterms:W3CDTF">2016-05-21T20:38:00Z</dcterms:modified>
</cp:coreProperties>
</file>